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593" w:rsidRPr="009712EF" w:rsidRDefault="00F31593" w:rsidP="00F31593">
      <w:pPr>
        <w:keepNext/>
        <w:widowControl w:val="0"/>
        <w:tabs>
          <w:tab w:val="num" w:pos="432"/>
        </w:tabs>
        <w:spacing w:after="200" w:line="276" w:lineRule="auto"/>
        <w:jc w:val="center"/>
        <w:outlineLvl w:val="0"/>
        <w:rPr>
          <w:rFonts w:ascii="Arial" w:eastAsia="Lucida Sans Unicode" w:hAnsi="Arial" w:cs="Arial"/>
          <w:b/>
          <w:bCs/>
          <w:sz w:val="20"/>
          <w:szCs w:val="20"/>
        </w:rPr>
      </w:pPr>
      <w:r w:rsidRPr="009712EF">
        <w:rPr>
          <w:rFonts w:ascii="Arial" w:eastAsia="Lucida Sans Unicode" w:hAnsi="Arial" w:cs="Arial"/>
          <w:b/>
          <w:bCs/>
          <w:sz w:val="20"/>
          <w:szCs w:val="20"/>
        </w:rPr>
        <w:t>KARTA USŁUGI</w:t>
      </w:r>
    </w:p>
    <w:tbl>
      <w:tblPr>
        <w:tblW w:w="10193" w:type="dxa"/>
        <w:tblInd w:w="-437" w:type="dxa"/>
        <w:tblLayout w:type="fixed"/>
        <w:tblLook w:val="0000" w:firstRow="0" w:lastRow="0" w:firstColumn="0" w:lastColumn="0" w:noHBand="0" w:noVBand="0"/>
      </w:tblPr>
      <w:tblGrid>
        <w:gridCol w:w="2715"/>
        <w:gridCol w:w="7478"/>
      </w:tblGrid>
      <w:tr w:rsidR="00F31593" w:rsidRPr="009712EF" w:rsidTr="009712EF">
        <w:trPr>
          <w:cantSplit/>
          <w:trHeight w:val="230"/>
        </w:trPr>
        <w:tc>
          <w:tcPr>
            <w:tcW w:w="10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593" w:rsidRPr="009712EF" w:rsidRDefault="00F31593" w:rsidP="007349DC">
            <w:pPr>
              <w:widowControl w:val="0"/>
              <w:snapToGrid w:val="0"/>
              <w:spacing w:after="200" w:line="276" w:lineRule="auto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9712EF">
              <w:rPr>
                <w:rFonts w:ascii="Arial" w:eastAsia="Lucida Sans Unicode" w:hAnsi="Arial" w:cs="Arial"/>
                <w:bCs/>
                <w:sz w:val="20"/>
                <w:szCs w:val="20"/>
              </w:rPr>
              <w:t>Karta usługi Nr</w:t>
            </w:r>
          </w:p>
          <w:p w:rsidR="00F31593" w:rsidRPr="009712EF" w:rsidRDefault="00F31593" w:rsidP="00F31593">
            <w:pPr>
              <w:widowControl w:val="0"/>
              <w:snapToGrid w:val="0"/>
              <w:spacing w:after="200" w:line="276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</w:rPr>
            </w:pPr>
            <w:r w:rsidRPr="009712EF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</w:rPr>
              <w:t>ZAMELDOWANIE NA POBYT STAŁY CUDZOZIEMCÓW</w:t>
            </w:r>
          </w:p>
        </w:tc>
      </w:tr>
      <w:tr w:rsidR="00F31593" w:rsidRPr="009712EF" w:rsidTr="009712EF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593" w:rsidRPr="009712EF" w:rsidRDefault="00F31593" w:rsidP="007349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12EF">
              <w:rPr>
                <w:rFonts w:ascii="Arial" w:hAnsi="Arial" w:cs="Arial"/>
                <w:sz w:val="20"/>
                <w:szCs w:val="20"/>
              </w:rPr>
              <w:t>MIEJSCE ZAŁATWIENIA SPRAWY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593" w:rsidRPr="001909AE" w:rsidRDefault="00F31593" w:rsidP="007349D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909AE">
              <w:rPr>
                <w:rFonts w:ascii="Arial" w:hAnsi="Arial" w:cs="Arial"/>
                <w:sz w:val="22"/>
                <w:szCs w:val="22"/>
              </w:rPr>
              <w:t>Urząd Gminy Miastków Kościelny</w:t>
            </w:r>
          </w:p>
          <w:p w:rsidR="006A0B7E" w:rsidRPr="001909AE" w:rsidRDefault="006A0B7E" w:rsidP="007349D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909AE">
              <w:rPr>
                <w:rFonts w:ascii="Arial" w:hAnsi="Arial" w:cs="Arial"/>
                <w:sz w:val="22"/>
                <w:szCs w:val="22"/>
              </w:rPr>
              <w:t>Urząd Stanu Cywilnego</w:t>
            </w:r>
          </w:p>
          <w:p w:rsidR="00F31593" w:rsidRPr="001909AE" w:rsidRDefault="00F31593" w:rsidP="007349DC">
            <w:pPr>
              <w:rPr>
                <w:rFonts w:ascii="Arial" w:hAnsi="Arial" w:cs="Arial"/>
                <w:sz w:val="22"/>
                <w:szCs w:val="22"/>
              </w:rPr>
            </w:pPr>
            <w:r w:rsidRPr="001909AE">
              <w:rPr>
                <w:rFonts w:ascii="Arial" w:hAnsi="Arial" w:cs="Arial"/>
                <w:sz w:val="22"/>
                <w:szCs w:val="22"/>
              </w:rPr>
              <w:t>08-420 Miastków Kościelny</w:t>
            </w:r>
          </w:p>
          <w:p w:rsidR="00F31593" w:rsidRPr="001909AE" w:rsidRDefault="00F31593" w:rsidP="007349DC">
            <w:pPr>
              <w:rPr>
                <w:rFonts w:ascii="Arial" w:hAnsi="Arial" w:cs="Arial"/>
                <w:sz w:val="22"/>
                <w:szCs w:val="22"/>
              </w:rPr>
            </w:pPr>
            <w:r w:rsidRPr="001909AE">
              <w:rPr>
                <w:rFonts w:ascii="Arial" w:hAnsi="Arial" w:cs="Arial"/>
                <w:sz w:val="22"/>
                <w:szCs w:val="22"/>
              </w:rPr>
              <w:t>ul. Rynek 6</w:t>
            </w:r>
          </w:p>
          <w:p w:rsidR="009712EF" w:rsidRPr="001909AE" w:rsidRDefault="009712EF" w:rsidP="007349DC">
            <w:pPr>
              <w:rPr>
                <w:rFonts w:ascii="Arial" w:hAnsi="Arial" w:cs="Arial"/>
                <w:sz w:val="22"/>
                <w:szCs w:val="22"/>
              </w:rPr>
            </w:pPr>
            <w:r w:rsidRPr="001909AE">
              <w:rPr>
                <w:rFonts w:ascii="Arial" w:hAnsi="Arial" w:cs="Arial"/>
                <w:sz w:val="22"/>
                <w:szCs w:val="22"/>
              </w:rPr>
              <w:t>pokój nr 1,  tel. (025) 684 16 36 lub (025) 751 12 86 w. 36</w:t>
            </w:r>
          </w:p>
        </w:tc>
      </w:tr>
      <w:tr w:rsidR="00F31593" w:rsidRPr="009712EF" w:rsidTr="005778DB">
        <w:trPr>
          <w:trHeight w:val="767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593" w:rsidRPr="009712EF" w:rsidRDefault="00F31593" w:rsidP="007349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12EF">
              <w:rPr>
                <w:rFonts w:ascii="Arial" w:hAnsi="Arial" w:cs="Arial"/>
                <w:sz w:val="20"/>
                <w:szCs w:val="20"/>
              </w:rPr>
              <w:t>SPOSÓB ZAŁATWIENIA SPRAWY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593" w:rsidRPr="001909AE" w:rsidRDefault="00F31593" w:rsidP="007349DC">
            <w:pPr>
              <w:snapToGrid w:val="0"/>
              <w:contextualSpacing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1909AE">
              <w:rPr>
                <w:rFonts w:ascii="Arial" w:hAnsi="Arial" w:cs="Arial"/>
                <w:sz w:val="22"/>
                <w:szCs w:val="22"/>
              </w:rPr>
              <w:t>Niezwłocznie. Osoba dopełniająca obowiązku zameldowania na pobyt stały otrzymuje potwierdzenie zameldowania ważne do chwili zmiany miejsca zameldowania.</w:t>
            </w:r>
          </w:p>
        </w:tc>
      </w:tr>
      <w:tr w:rsidR="00F31593" w:rsidRPr="009712EF" w:rsidTr="009712EF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593" w:rsidRPr="009712EF" w:rsidRDefault="00F31593" w:rsidP="007349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12EF">
              <w:rPr>
                <w:rFonts w:ascii="Arial" w:hAnsi="Arial" w:cs="Arial"/>
                <w:sz w:val="20"/>
                <w:szCs w:val="20"/>
              </w:rPr>
              <w:t>WYMAGANE DOKUMENTY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593" w:rsidRPr="001909AE" w:rsidRDefault="00F31593" w:rsidP="00EC3D5A">
            <w:pPr>
              <w:numPr>
                <w:ilvl w:val="0"/>
                <w:numId w:val="1"/>
              </w:numPr>
              <w:tabs>
                <w:tab w:val="num" w:pos="586"/>
              </w:tabs>
              <w:suppressAutoHyphens w:val="0"/>
              <w:spacing w:before="100" w:beforeAutospacing="1" w:line="240" w:lineRule="auto"/>
              <w:ind w:left="444" w:hanging="283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1909AE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Wypełniony i podpisany formularz </w:t>
            </w:r>
            <w:hyperlink r:id="rId6" w:history="1">
              <w:r w:rsidRPr="001909AE">
                <w:rPr>
                  <w:rFonts w:ascii="Arial" w:hAnsi="Arial" w:cs="Arial"/>
                  <w:color w:val="000000" w:themeColor="text1"/>
                  <w:kern w:val="0"/>
                  <w:sz w:val="22"/>
                  <w:szCs w:val="22"/>
                  <w:u w:val="single"/>
                  <w:lang w:eastAsia="pl-PL"/>
                </w:rPr>
                <w:t>„Zgłoszenie pobytu stałego”</w:t>
              </w:r>
            </w:hyperlink>
            <w:r w:rsidRPr="001909AE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</w:t>
            </w:r>
            <w:r w:rsidRPr="001909AE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(</w:t>
            </w:r>
            <w:r w:rsidRPr="001909AE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pl-PL"/>
              </w:rPr>
              <w:t>odrębny dla każdej osoby meldującej się, również dla dziecka</w:t>
            </w:r>
            <w:r w:rsidRPr="001909AE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) – zawierający potwierdzenie faktu pobytu osoby dokonane przez właściciela lub inny podmiot dysponujący tytułem prawnym do lokalu w formie czytelnego podpisu z oznaczeniem daty jego złożenia.</w:t>
            </w:r>
          </w:p>
          <w:p w:rsidR="00EC3D5A" w:rsidRPr="001909AE" w:rsidRDefault="00EC3D5A" w:rsidP="00EC3D5A">
            <w:pPr>
              <w:suppressAutoHyphens w:val="0"/>
              <w:spacing w:before="120" w:line="240" w:lineRule="auto"/>
              <w:ind w:left="444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  <w:lang w:eastAsia="pl-PL"/>
              </w:rPr>
            </w:pPr>
            <w:r w:rsidRPr="001909AE">
              <w:rPr>
                <w:rFonts w:ascii="Arial" w:hAnsi="Arial" w:cs="Arial"/>
                <w:b/>
                <w:kern w:val="0"/>
                <w:sz w:val="22"/>
                <w:szCs w:val="22"/>
                <w:lang w:eastAsia="pl-PL"/>
              </w:rPr>
              <w:t>Ponadto w zależności od obywatelstwa:</w:t>
            </w:r>
          </w:p>
          <w:p w:rsidR="00EC3D5A" w:rsidRPr="001660F6" w:rsidRDefault="00EC3D5A" w:rsidP="00EC3D5A">
            <w:pPr>
              <w:pStyle w:val="Akapitzlist"/>
              <w:numPr>
                <w:ilvl w:val="0"/>
                <w:numId w:val="10"/>
              </w:numPr>
              <w:suppressAutoHyphens w:val="0"/>
              <w:spacing w:before="120" w:line="240" w:lineRule="auto"/>
              <w:ind w:left="303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1909AE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pl-PL"/>
              </w:rPr>
              <w:t>cudzoziemiec nie będący obywatelem państwa członkowskiego Unii Europejskiej, obywatelem państwa  członkowskiego Europejskiego Porozumienia o Wolnym Handlu (EFTA) – strony umowy o Europejskim Obszarze Gospodarczym lub obywatelem Konfederacji Szwajcarskiej oraz członek rodziny takiego cudzoziemca nie będący obywatelem ww. państw przedstawia:</w:t>
            </w:r>
          </w:p>
          <w:p w:rsidR="001660F6" w:rsidRPr="001660F6" w:rsidRDefault="001660F6" w:rsidP="001660F6">
            <w:pPr>
              <w:numPr>
                <w:ilvl w:val="0"/>
                <w:numId w:val="14"/>
              </w:numPr>
              <w:suppressAutoHyphens w:val="0"/>
              <w:spacing w:before="120" w:line="240" w:lineRule="auto"/>
              <w:ind w:left="714" w:hanging="357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1660F6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ważny dokument podróży</w:t>
            </w:r>
          </w:p>
          <w:p w:rsidR="001660F6" w:rsidRPr="001660F6" w:rsidRDefault="001660F6" w:rsidP="001660F6">
            <w:pPr>
              <w:numPr>
                <w:ilvl w:val="0"/>
                <w:numId w:val="14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1660F6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oraz JEDEN z następujących dokumentów: </w:t>
            </w:r>
          </w:p>
          <w:p w:rsidR="001660F6" w:rsidRPr="001660F6" w:rsidRDefault="001660F6" w:rsidP="001660F6">
            <w:pPr>
              <w:numPr>
                <w:ilvl w:val="1"/>
                <w:numId w:val="14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1660F6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karta pobytu wydana w związku z udzieleniem zezwolenia na pobyt stały, zezwolenia na pobyt rezydenta długoterminowego UE, zgody na pobyt ze względów humanitarnych, ochrony uzupełniającej albo nadaniem statusu uchodźcy w Polsce,</w:t>
            </w:r>
          </w:p>
          <w:p w:rsidR="001660F6" w:rsidRPr="001660F6" w:rsidRDefault="001660F6" w:rsidP="001660F6">
            <w:pPr>
              <w:numPr>
                <w:ilvl w:val="1"/>
                <w:numId w:val="14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1660F6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„Zgoda na pobyt tolerowany”</w:t>
            </w:r>
          </w:p>
          <w:p w:rsidR="001660F6" w:rsidRPr="001660F6" w:rsidRDefault="001660F6" w:rsidP="001660F6">
            <w:pPr>
              <w:numPr>
                <w:ilvl w:val="1"/>
                <w:numId w:val="14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1660F6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zezwolenie na pobyt stały,</w:t>
            </w:r>
          </w:p>
          <w:p w:rsidR="001660F6" w:rsidRPr="001660F6" w:rsidRDefault="001660F6" w:rsidP="001660F6">
            <w:pPr>
              <w:numPr>
                <w:ilvl w:val="1"/>
                <w:numId w:val="14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1660F6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zezwolenie na pobyt rezydenta długoterminowego UE,</w:t>
            </w:r>
          </w:p>
          <w:p w:rsidR="001660F6" w:rsidRPr="001660F6" w:rsidRDefault="001660F6" w:rsidP="001660F6">
            <w:pPr>
              <w:numPr>
                <w:ilvl w:val="1"/>
                <w:numId w:val="14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1660F6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decyzja o nadaniu statusu uchodźcy w RP, udzieleniu w RP ochrony uzupełniającej, zgody na pobyt ze względów humanitarnych albo zgody na pobyt tolerowany. </w:t>
            </w:r>
          </w:p>
          <w:p w:rsidR="00EC3D5A" w:rsidRPr="001909AE" w:rsidRDefault="00EC3D5A" w:rsidP="009712EF">
            <w:pPr>
              <w:pStyle w:val="Akapitzlist"/>
              <w:numPr>
                <w:ilvl w:val="0"/>
                <w:numId w:val="10"/>
              </w:numPr>
              <w:suppressAutoHyphens w:val="0"/>
              <w:spacing w:before="120" w:line="240" w:lineRule="auto"/>
              <w:ind w:left="303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1909AE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pl-PL"/>
              </w:rPr>
              <w:t>cudzoziemiec będący obywatelem państwa członkowskiego Unii Europejskiej, obywatelem państwa członkowskiego Europejskiego Porozumienia o Wolnym Handlu (EFTA) – strony umowy o Europejskim Obszarze Gospodarczym lub obywatelem Konfederacji Szwajcarskiej przedstawia:</w:t>
            </w:r>
          </w:p>
          <w:p w:rsidR="001909AE" w:rsidRPr="001909AE" w:rsidRDefault="00EC3D5A" w:rsidP="001909AE">
            <w:pPr>
              <w:suppressAutoHyphens w:val="0"/>
              <w:spacing w:line="240" w:lineRule="auto"/>
              <w:ind w:left="19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1909AE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- ważny dokument podróży lub inny ważny dokument potwierdzający jego tożsamość  i obywatelstwo </w:t>
            </w:r>
          </w:p>
          <w:p w:rsidR="00EC3D5A" w:rsidRPr="001909AE" w:rsidRDefault="00EC3D5A" w:rsidP="001909AE">
            <w:pPr>
              <w:pStyle w:val="Akapitzlist"/>
              <w:numPr>
                <w:ilvl w:val="0"/>
                <w:numId w:val="10"/>
              </w:numPr>
              <w:suppressAutoHyphens w:val="0"/>
              <w:spacing w:before="120" w:line="240" w:lineRule="auto"/>
              <w:ind w:left="303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1909AE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pl-PL"/>
              </w:rPr>
              <w:t>członek rodziny cudzoziemca niebędący obywatelem państwa członkowskiego Unii Europejskiej, obywatelem państwa członkowskiego Europejskiego Porozumienia o Wolnym Handlu (EFTA) – strony umowy o Europejskim Obszarze Gospodarczym lub obywatelem Konfederacji Szwajcarskiej przedstawia:</w:t>
            </w:r>
          </w:p>
          <w:p w:rsidR="00EC3D5A" w:rsidRPr="001909AE" w:rsidRDefault="00EC3D5A" w:rsidP="00EC3D5A">
            <w:pPr>
              <w:suppressAutoHyphens w:val="0"/>
              <w:spacing w:line="240" w:lineRule="auto"/>
              <w:ind w:left="19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1909AE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 - ważny dokument podróży oraz ważną kartę stałego pobytu członka rodziny obywatela Unii Europejskiej, albo</w:t>
            </w:r>
          </w:p>
          <w:p w:rsidR="001909AE" w:rsidRPr="001909AE" w:rsidRDefault="00EC3D5A" w:rsidP="001909AE">
            <w:pPr>
              <w:suppressAutoHyphens w:val="0"/>
              <w:spacing w:line="240" w:lineRule="auto"/>
              <w:ind w:left="19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1909AE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 - </w:t>
            </w:r>
            <w:r w:rsidR="001909AE" w:rsidRPr="001909AE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albo</w:t>
            </w:r>
            <w:r w:rsidR="001909AE" w:rsidRPr="001909AE">
              <w:rPr>
                <w:rFonts w:ascii="Arial" w:hAnsi="Arial" w:cs="Arial"/>
                <w:sz w:val="22"/>
                <w:szCs w:val="22"/>
              </w:rPr>
              <w:t xml:space="preserve"> ważną kartę pobytu członka rodziny obywatela Unii Europejskiej, a gdy brak takiej możliwości - przedstawia inny dokument potwierdzający, że jest on członkiem rodziny obywatela Unii Europejskiej.</w:t>
            </w:r>
          </w:p>
          <w:p w:rsidR="00F31593" w:rsidRPr="001909AE" w:rsidRDefault="00F31593" w:rsidP="009712EF">
            <w:pPr>
              <w:numPr>
                <w:ilvl w:val="0"/>
                <w:numId w:val="1"/>
              </w:numPr>
              <w:tabs>
                <w:tab w:val="num" w:pos="586"/>
              </w:tabs>
              <w:suppressAutoHyphens w:val="0"/>
              <w:spacing w:before="120" w:line="240" w:lineRule="auto"/>
              <w:ind w:left="444" w:hanging="283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1909AE">
              <w:rPr>
                <w:rFonts w:ascii="Arial" w:hAnsi="Arial" w:cs="Arial"/>
                <w:sz w:val="22"/>
                <w:szCs w:val="22"/>
              </w:rPr>
              <w:lastRenderedPageBreak/>
              <w:t>Do wglądu - dokument potwierdzający tytuł prawny do lokalu: np. umowa cywilno-prawna, wypis z księgi wieczystej, decyzja administracyjna, orzeczenie sądu lub inny dokument poświadczający tytuł prawny do lokalu. Jeżeli osoba, która dokonuje zameldowania dysponuje tytułem prawnym do lokalu – sama dokonuje potwierdzenia faktu pobytu osoby w danym lokalu.</w:t>
            </w:r>
          </w:p>
          <w:p w:rsidR="005C2BC6" w:rsidRDefault="00F31593" w:rsidP="00F31593">
            <w:pPr>
              <w:numPr>
                <w:ilvl w:val="0"/>
                <w:numId w:val="1"/>
              </w:numPr>
              <w:tabs>
                <w:tab w:val="num" w:pos="586"/>
              </w:tabs>
              <w:suppressAutoHyphens w:val="0"/>
              <w:spacing w:before="100" w:beforeAutospacing="1" w:line="240" w:lineRule="auto"/>
              <w:ind w:left="444" w:hanging="283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1909AE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W przypadku zgłoszenia zameldowania </w:t>
            </w:r>
            <w:r w:rsidRPr="001909AE">
              <w:rPr>
                <w:rFonts w:ascii="Arial" w:hAnsi="Arial" w:cs="Arial"/>
                <w:kern w:val="0"/>
                <w:sz w:val="22"/>
                <w:szCs w:val="22"/>
                <w:u w:val="single"/>
                <w:lang w:eastAsia="pl-PL"/>
              </w:rPr>
              <w:t>przez pełnomocnika</w:t>
            </w:r>
            <w:r w:rsidRPr="001909AE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 dodatkowo: pisemne pełnomocnictwo do zameldowania,</w:t>
            </w:r>
          </w:p>
          <w:p w:rsidR="00A704BB" w:rsidRPr="001909AE" w:rsidRDefault="00A704BB" w:rsidP="00A704BB">
            <w:pPr>
              <w:numPr>
                <w:ilvl w:val="0"/>
                <w:numId w:val="1"/>
              </w:numPr>
              <w:tabs>
                <w:tab w:val="num" w:pos="586"/>
              </w:tabs>
              <w:suppressAutoHyphens w:val="0"/>
              <w:spacing w:before="100" w:beforeAutospacing="1" w:line="240" w:lineRule="auto"/>
              <w:ind w:left="444" w:hanging="283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Zameldowania na pobyt stały można dokonać przez </w:t>
            </w:r>
            <w:proofErr w:type="spellStart"/>
            <w:r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internet</w:t>
            </w:r>
            <w:proofErr w:type="spellEnd"/>
            <w:r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: </w:t>
            </w:r>
            <w:hyperlink r:id="rId7" w:history="1">
              <w:r w:rsidRPr="00DE2FC0">
                <w:rPr>
                  <w:rStyle w:val="Hipercze"/>
                  <w:rFonts w:ascii="Arial" w:hAnsi="Arial" w:cs="Arial"/>
                  <w:kern w:val="0"/>
                  <w:sz w:val="22"/>
                  <w:szCs w:val="22"/>
                  <w:lang w:eastAsia="pl-PL"/>
                </w:rPr>
                <w:t>https://obywatel.gov.pl/meldunek/zamelduj-sie-na-pobyt-staly-dla-cudzoziemcow#scenariusz-przez-internet</w:t>
              </w:r>
            </w:hyperlink>
            <w:r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 , </w:t>
            </w:r>
            <w:r w:rsidRPr="00A704BB">
              <w:rPr>
                <w:rFonts w:ascii="Arial" w:hAnsi="Arial" w:cs="Arial"/>
                <w:sz w:val="22"/>
                <w:szCs w:val="22"/>
              </w:rPr>
              <w:t>jednakże j</w:t>
            </w:r>
            <w:r w:rsidRPr="00A704BB">
              <w:rPr>
                <w:rFonts w:ascii="Arial" w:hAnsi="Arial" w:cs="Arial"/>
                <w:bCs/>
                <w:sz w:val="22"/>
                <w:szCs w:val="22"/>
              </w:rPr>
              <w:t xml:space="preserve">eśli NIE jesteś obywatelem państwa członkowskiego UE, EFTA albo Konfederacji Szwajcarskiej oraz nie jesteś członkiem rodziny wymienionego cudzoziemca, NIE MOŻESZ się zameldować przez </w:t>
            </w:r>
            <w:proofErr w:type="spellStart"/>
            <w:r w:rsidRPr="00A704BB">
              <w:rPr>
                <w:rFonts w:ascii="Arial" w:hAnsi="Arial" w:cs="Arial"/>
                <w:bCs/>
                <w:sz w:val="22"/>
                <w:szCs w:val="22"/>
              </w:rPr>
              <w:t>internet</w:t>
            </w:r>
            <w:proofErr w:type="spellEnd"/>
            <w:r w:rsidRPr="00A704BB">
              <w:rPr>
                <w:rFonts w:ascii="Arial" w:hAnsi="Arial" w:cs="Arial"/>
                <w:bCs/>
                <w:sz w:val="22"/>
                <w:szCs w:val="22"/>
              </w:rPr>
              <w:t>. Dokumenty, które potwierdzają prawo do twojego pobytu w Polsce, musisz pokazać w urzędzie.</w:t>
            </w:r>
          </w:p>
        </w:tc>
      </w:tr>
      <w:tr w:rsidR="00F31593" w:rsidRPr="009712EF" w:rsidTr="009712EF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593" w:rsidRPr="009712EF" w:rsidRDefault="00F31593" w:rsidP="007349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12EF">
              <w:rPr>
                <w:rFonts w:ascii="Arial" w:hAnsi="Arial" w:cs="Arial"/>
                <w:sz w:val="20"/>
                <w:szCs w:val="20"/>
              </w:rPr>
              <w:lastRenderedPageBreak/>
              <w:t>OPŁATY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6" w:rsidRPr="001909AE" w:rsidRDefault="00EC3D5A" w:rsidP="00F31593">
            <w:pPr>
              <w:numPr>
                <w:ilvl w:val="0"/>
                <w:numId w:val="3"/>
              </w:numPr>
              <w:suppressAutoHyphens w:val="0"/>
              <w:spacing w:line="240" w:lineRule="auto"/>
              <w:contextualSpacing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1909AE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Nie pobiera się opłat za dokonanie czynności dotyczących realizacji obowiązku meldunkowego. </w:t>
            </w:r>
          </w:p>
          <w:p w:rsidR="00F31593" w:rsidRPr="001909AE" w:rsidRDefault="00EC3D5A" w:rsidP="00F31593">
            <w:pPr>
              <w:numPr>
                <w:ilvl w:val="0"/>
                <w:numId w:val="3"/>
              </w:numPr>
              <w:snapToGrid w:val="0"/>
              <w:contextualSpacing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1909AE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17 zł – opłata skarbowa za złożenie pełnomocnictwa (w przypadku, gdy osoba zgłaszająca pobyt stały działa przez pełnomocnika).</w:t>
            </w:r>
          </w:p>
          <w:p w:rsidR="00F31593" w:rsidRPr="001909AE" w:rsidRDefault="00F31593" w:rsidP="007349DC">
            <w:pPr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909AE">
              <w:rPr>
                <w:rFonts w:ascii="Arial" w:hAnsi="Arial" w:cs="Arial"/>
                <w:sz w:val="22"/>
                <w:szCs w:val="22"/>
              </w:rPr>
              <w:t>Opłata skarbowa za złożenie pełnomocnictwa</w:t>
            </w:r>
            <w:r w:rsidRPr="001909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nie dotyczy</w:t>
            </w:r>
            <w:r w:rsidRPr="001909AE">
              <w:rPr>
                <w:rFonts w:ascii="Arial" w:hAnsi="Arial" w:cs="Arial"/>
                <w:sz w:val="22"/>
                <w:szCs w:val="22"/>
              </w:rPr>
              <w:t xml:space="preserve"> pełnomocnictwa udzielonego małżonkowi, wstępnemu, zstępnemu lub rodzeństwu.</w:t>
            </w:r>
          </w:p>
        </w:tc>
      </w:tr>
      <w:tr w:rsidR="00F31593" w:rsidRPr="009712EF" w:rsidTr="009712EF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593" w:rsidRPr="009712EF" w:rsidRDefault="00F31593" w:rsidP="007349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12EF">
              <w:rPr>
                <w:rFonts w:ascii="Arial" w:hAnsi="Arial" w:cs="Arial"/>
                <w:sz w:val="20"/>
                <w:szCs w:val="20"/>
              </w:rPr>
              <w:t>CZAS ZAŁATWIENIA SPRAWY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6" w:rsidRPr="001909AE" w:rsidRDefault="00EC3D5A" w:rsidP="009712EF">
            <w:pPr>
              <w:suppressAutoHyphens w:val="0"/>
              <w:spacing w:line="240" w:lineRule="auto"/>
              <w:contextualSpacing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1909AE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Niezwłocznie</w:t>
            </w:r>
            <w:r w:rsidR="009712EF" w:rsidRPr="001909AE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.</w:t>
            </w:r>
          </w:p>
        </w:tc>
      </w:tr>
      <w:tr w:rsidR="00F31593" w:rsidRPr="009712EF" w:rsidTr="009712EF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593" w:rsidRPr="009712EF" w:rsidRDefault="00F31593" w:rsidP="007349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12EF">
              <w:rPr>
                <w:rFonts w:ascii="Arial" w:hAnsi="Arial" w:cs="Arial"/>
                <w:sz w:val="20"/>
                <w:szCs w:val="20"/>
              </w:rPr>
              <w:t>TRYB ODWOŁAWCZY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593" w:rsidRPr="001909AE" w:rsidRDefault="00F31593" w:rsidP="007349D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09AE">
              <w:rPr>
                <w:rFonts w:ascii="Arial" w:hAnsi="Arial" w:cs="Arial"/>
                <w:sz w:val="22"/>
                <w:szCs w:val="22"/>
              </w:rPr>
              <w:t>Brak, czynność materialno-techniczna.</w:t>
            </w:r>
          </w:p>
        </w:tc>
      </w:tr>
      <w:tr w:rsidR="00F31593" w:rsidRPr="009712EF" w:rsidTr="009712EF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593" w:rsidRPr="009712EF" w:rsidRDefault="00F31593" w:rsidP="007349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12EF">
              <w:rPr>
                <w:rFonts w:ascii="Arial" w:hAnsi="Arial" w:cs="Arial"/>
                <w:sz w:val="20"/>
                <w:szCs w:val="20"/>
              </w:rPr>
              <w:t>INNE INFORMACJE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593" w:rsidRPr="001909AE" w:rsidRDefault="00533DEB" w:rsidP="00F31593">
            <w:pPr>
              <w:numPr>
                <w:ilvl w:val="0"/>
                <w:numId w:val="4"/>
              </w:numPr>
              <w:suppressAutoHyphens w:val="0"/>
              <w:spacing w:line="240" w:lineRule="auto"/>
              <w:ind w:left="444"/>
              <w:contextualSpacing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1909AE">
              <w:rPr>
                <w:rFonts w:ascii="Arial" w:hAnsi="Arial" w:cs="Arial"/>
                <w:sz w:val="22"/>
                <w:szCs w:val="22"/>
              </w:rPr>
              <w:t xml:space="preserve">Pobytem stałym jest zamieszkanie w określonej miejscowości pod oznaczonym adresem z zamiarem stałego przebywania. </w:t>
            </w:r>
            <w:r w:rsidR="00F31593" w:rsidRPr="001909AE">
              <w:rPr>
                <w:rFonts w:ascii="Arial" w:hAnsi="Arial" w:cs="Arial"/>
                <w:sz w:val="22"/>
                <w:szCs w:val="22"/>
              </w:rPr>
              <w:t>W tym samym czasie można mieć tylko jedno miejsce pobytu</w:t>
            </w:r>
            <w:r w:rsidRPr="001909AE">
              <w:rPr>
                <w:rFonts w:ascii="Arial" w:hAnsi="Arial" w:cs="Arial"/>
                <w:sz w:val="22"/>
                <w:szCs w:val="22"/>
              </w:rPr>
              <w:t xml:space="preserve"> stałego</w:t>
            </w:r>
            <w:r w:rsidR="00F31593" w:rsidRPr="001909AE">
              <w:rPr>
                <w:rFonts w:ascii="Arial" w:hAnsi="Arial" w:cs="Arial"/>
                <w:sz w:val="22"/>
                <w:szCs w:val="22"/>
              </w:rPr>
              <w:t>.</w:t>
            </w:r>
            <w:r w:rsidRPr="001909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1593" w:rsidRPr="001909AE">
              <w:rPr>
                <w:rFonts w:ascii="Arial" w:hAnsi="Arial" w:cs="Arial"/>
                <w:sz w:val="22"/>
                <w:szCs w:val="22"/>
                <w:u w:val="single"/>
              </w:rPr>
              <w:t>Zameldowanie służy wyłącznie celom ewidencyjnym i ma na celu potwierdzenie faktu pobytu osoby w miejscu, w którym się zameldowała</w:t>
            </w:r>
            <w:r w:rsidR="00F31593" w:rsidRPr="001909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33DEB" w:rsidRPr="001909AE" w:rsidRDefault="00533DEB" w:rsidP="00F31593">
            <w:pPr>
              <w:numPr>
                <w:ilvl w:val="0"/>
                <w:numId w:val="4"/>
              </w:numPr>
              <w:suppressAutoHyphens w:val="0"/>
              <w:spacing w:line="240" w:lineRule="auto"/>
              <w:ind w:left="444"/>
              <w:contextualSpacing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1909AE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Zameldowania na pobyt stały dokonuje się w formie pisemnej na formularzu „Zgłoszenie pobytu stałego” w organie gminy, właściwym ze względu na miejsce położenia nieruchomości, w której osoba zamieszkuje.</w:t>
            </w:r>
          </w:p>
          <w:p w:rsidR="00533DEB" w:rsidRPr="001909AE" w:rsidRDefault="00533DEB" w:rsidP="00F31593">
            <w:pPr>
              <w:numPr>
                <w:ilvl w:val="0"/>
                <w:numId w:val="4"/>
              </w:numPr>
              <w:suppressAutoHyphens w:val="0"/>
              <w:spacing w:line="240" w:lineRule="auto"/>
              <w:ind w:left="444"/>
              <w:contextualSpacing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1909AE">
              <w:rPr>
                <w:rFonts w:ascii="Arial" w:hAnsi="Arial" w:cs="Arial"/>
                <w:sz w:val="22"/>
                <w:szCs w:val="22"/>
              </w:rPr>
              <w:t xml:space="preserve">Zameldowanie na pobyt stały można dokonać </w:t>
            </w:r>
            <w:r w:rsidRPr="001909AE">
              <w:rPr>
                <w:rStyle w:val="Pogrubienie"/>
                <w:rFonts w:ascii="Arial" w:hAnsi="Arial" w:cs="Arial"/>
                <w:sz w:val="22"/>
                <w:szCs w:val="22"/>
              </w:rPr>
              <w:t>bez konieczności stawienia się w organie gminy dotychczasowego miejsca pobytu w celu dokonania wymeldowania</w:t>
            </w:r>
            <w:r w:rsidRPr="001909AE">
              <w:rPr>
                <w:rFonts w:ascii="Arial" w:hAnsi="Arial" w:cs="Arial"/>
                <w:sz w:val="22"/>
                <w:szCs w:val="22"/>
              </w:rPr>
              <w:t xml:space="preserve">. W takim przypadku wymeldowanie z dotychczasowego miejsca pobytu stałego następuje automatycznie natomiast osoba równocześnie </w:t>
            </w:r>
            <w:r w:rsidRPr="001909AE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może </w:t>
            </w:r>
            <w:r w:rsidRPr="001909AE">
              <w:rPr>
                <w:rFonts w:ascii="Arial" w:hAnsi="Arial" w:cs="Arial"/>
                <w:sz w:val="22"/>
                <w:szCs w:val="22"/>
              </w:rPr>
              <w:t>wymeldować się również z miejsca pobytu czasowego, jeżeli takie posiada.</w:t>
            </w:r>
          </w:p>
          <w:p w:rsidR="00533DEB" w:rsidRPr="001909AE" w:rsidRDefault="00533DEB" w:rsidP="00F31593">
            <w:pPr>
              <w:numPr>
                <w:ilvl w:val="0"/>
                <w:numId w:val="4"/>
              </w:numPr>
              <w:suppressAutoHyphens w:val="0"/>
              <w:spacing w:line="240" w:lineRule="auto"/>
              <w:ind w:left="444"/>
              <w:contextualSpacing/>
              <w:jc w:val="both"/>
              <w:rPr>
                <w:rStyle w:val="Pogrubienie"/>
                <w:rFonts w:ascii="Arial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909AE">
              <w:rPr>
                <w:rFonts w:ascii="Arial" w:hAnsi="Arial" w:cs="Arial"/>
                <w:sz w:val="22"/>
                <w:szCs w:val="22"/>
              </w:rPr>
              <w:t xml:space="preserve">Cudzoziemiec będący obywatelem państwa członkowskiego Unii Europejskiej, obywatelem państwa członkowskiego Europejskiego Porozumienia o Wolnym Handlu (EFTA) – strony umowy o Europejskim Obszarze Gospodarczym lub obywatelem Konfederacji Szwajcarskiej oraz członek rodziny takiego cudzoziemca nie będący obywatelem ww. państw, przebywający na terytorium Rzeczypospolitej Polskiej, jest obowiązany zameldować się w miejscu pobytu stałego </w:t>
            </w:r>
            <w:r w:rsidRPr="001909AE">
              <w:rPr>
                <w:rStyle w:val="Pogrubienie"/>
                <w:rFonts w:ascii="Arial" w:hAnsi="Arial" w:cs="Arial"/>
                <w:sz w:val="22"/>
                <w:szCs w:val="22"/>
              </w:rPr>
              <w:t>najpóźniej w 30 dniu, licząc od dnia przybycia do tego miejsca.</w:t>
            </w:r>
          </w:p>
          <w:p w:rsidR="00533DEB" w:rsidRPr="001909AE" w:rsidRDefault="00533DEB" w:rsidP="00F31593">
            <w:pPr>
              <w:numPr>
                <w:ilvl w:val="0"/>
                <w:numId w:val="4"/>
              </w:numPr>
              <w:suppressAutoHyphens w:val="0"/>
              <w:spacing w:line="240" w:lineRule="auto"/>
              <w:ind w:left="444"/>
              <w:contextualSpacing/>
              <w:jc w:val="both"/>
              <w:rPr>
                <w:rStyle w:val="Pogrubienie"/>
                <w:rFonts w:ascii="Arial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909AE">
              <w:rPr>
                <w:rStyle w:val="Pogrubienie"/>
                <w:rFonts w:ascii="Arial" w:hAnsi="Arial" w:cs="Arial"/>
                <w:sz w:val="22"/>
                <w:szCs w:val="22"/>
              </w:rPr>
              <w:t>Cudzoziemiec inny niż wskazany powyżej</w:t>
            </w:r>
            <w:r w:rsidRPr="001909AE">
              <w:rPr>
                <w:rFonts w:ascii="Arial" w:hAnsi="Arial" w:cs="Arial"/>
                <w:sz w:val="22"/>
                <w:szCs w:val="22"/>
              </w:rPr>
              <w:t xml:space="preserve"> przebywający na terytorium Rzeczypospolitej Polskiej, jest obowiązany zameldować się w miejscu pobytu stałego </w:t>
            </w:r>
            <w:r w:rsidRPr="001909AE">
              <w:rPr>
                <w:rStyle w:val="Pogrubienie"/>
                <w:rFonts w:ascii="Arial" w:hAnsi="Arial" w:cs="Arial"/>
                <w:sz w:val="22"/>
                <w:szCs w:val="22"/>
              </w:rPr>
              <w:t>najpóźniej czwartego dnia, licząc od dnia przybycia do tego miejsca.</w:t>
            </w:r>
          </w:p>
          <w:p w:rsidR="00533DEB" w:rsidRPr="001909AE" w:rsidRDefault="00EC3D5A" w:rsidP="00533DEB">
            <w:pPr>
              <w:numPr>
                <w:ilvl w:val="0"/>
                <w:numId w:val="4"/>
              </w:numPr>
              <w:suppressAutoHyphens w:val="0"/>
              <w:spacing w:line="240" w:lineRule="auto"/>
              <w:ind w:left="444"/>
              <w:contextualSpacing/>
              <w:jc w:val="both"/>
              <w:rPr>
                <w:rStyle w:val="Pogrubienie"/>
                <w:rFonts w:ascii="Arial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909AE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Zameldowania w miejscu pobytu stałego można dopełnić przez </w:t>
            </w:r>
            <w:r w:rsidRPr="001909AE">
              <w:rPr>
                <w:rFonts w:ascii="Arial" w:hAnsi="Arial" w:cs="Arial"/>
                <w:sz w:val="22"/>
                <w:szCs w:val="22"/>
              </w:rPr>
              <w:t>pełnomocnika</w:t>
            </w:r>
            <w:r w:rsidRPr="001909AE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, legitymującego się pełnomocnictwem udzielonym w formie, o której mowa w art. 33 § 2 ustawy z dnia 14 czerwca 1960 r. – Kodeks postępowania administracyjnego (Dz. U. z 2013 r. poz. 267</w:t>
            </w:r>
            <w:r w:rsidR="00533DEB" w:rsidRPr="001909AE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 z </w:t>
            </w:r>
            <w:proofErr w:type="spellStart"/>
            <w:r w:rsidR="00533DEB" w:rsidRPr="001909AE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późn</w:t>
            </w:r>
            <w:proofErr w:type="spellEnd"/>
            <w:r w:rsidR="00533DEB" w:rsidRPr="001909AE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. zm.</w:t>
            </w:r>
            <w:r w:rsidRPr="001909AE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) po okazaniu przez pełnomocnika do wglądu jego dowodu osobistego lub paszportu.</w:t>
            </w:r>
          </w:p>
          <w:p w:rsidR="005C2BC6" w:rsidRPr="001909AE" w:rsidRDefault="00EC3D5A" w:rsidP="00533DEB">
            <w:pPr>
              <w:numPr>
                <w:ilvl w:val="0"/>
                <w:numId w:val="4"/>
              </w:numPr>
              <w:suppressAutoHyphens w:val="0"/>
              <w:spacing w:line="240" w:lineRule="auto"/>
              <w:ind w:left="444"/>
              <w:contextualSpacing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1909AE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lastRenderedPageBreak/>
              <w:t xml:space="preserve">Za osobę nieposiadającą zdolności do czynności prawnych lub posiadającą ograniczoną zdolność do czynności prawnych obowiązek meldunkowy wykonuje jej przedstawiciel ustawowy, opiekun prawny lub inna osoba sprawująca nad nią faktyczną opiekę w miejscu ich wspólnego pobytu. </w:t>
            </w:r>
          </w:p>
          <w:p w:rsidR="00F31593" w:rsidRPr="001909AE" w:rsidRDefault="00F31593" w:rsidP="00216EA4">
            <w:pPr>
              <w:numPr>
                <w:ilvl w:val="0"/>
                <w:numId w:val="4"/>
              </w:numPr>
              <w:suppressAutoHyphens w:val="0"/>
              <w:spacing w:line="240" w:lineRule="auto"/>
              <w:ind w:left="444"/>
              <w:contextualSpacing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1909AE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Jeżeli dane zgłoszone do zameldowania lub wymeldowania budzą wątpliwości, o zameldowaniu lub wymeldowaniu rozstrzyga organ gminy w drodze decyzji administracyjnej. W tym trybie rozstrzygane są też wątpliwości co do stałego lub czasowego charakteru pobytu osoby pod deklarowanym adresem (patrz karta informacyjna „</w:t>
            </w:r>
            <w:hyperlink r:id="rId8" w:history="1">
              <w:r w:rsidRPr="001909AE">
                <w:rPr>
                  <w:rFonts w:ascii="Arial" w:hAnsi="Arial" w:cs="Arial"/>
                  <w:color w:val="000000" w:themeColor="text1"/>
                  <w:kern w:val="0"/>
                  <w:sz w:val="22"/>
                  <w:szCs w:val="22"/>
                  <w:u w:val="single"/>
                  <w:lang w:eastAsia="pl-PL"/>
                </w:rPr>
                <w:t>Zameldowanie w drodze decyzji administracyjnej</w:t>
              </w:r>
            </w:hyperlink>
            <w:r w:rsidRPr="001909AE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”).</w:t>
            </w:r>
          </w:p>
        </w:tc>
      </w:tr>
      <w:tr w:rsidR="00F31593" w:rsidRPr="009712EF" w:rsidTr="009712EF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593" w:rsidRPr="009712EF" w:rsidRDefault="00F31593" w:rsidP="007349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12EF">
              <w:rPr>
                <w:rFonts w:ascii="Arial" w:hAnsi="Arial" w:cs="Arial"/>
                <w:sz w:val="20"/>
                <w:szCs w:val="20"/>
              </w:rPr>
              <w:lastRenderedPageBreak/>
              <w:t>WNIOSEK DO POBRANIA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593" w:rsidRPr="001909AE" w:rsidRDefault="00F31593" w:rsidP="00533DEB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09AE">
              <w:rPr>
                <w:rFonts w:ascii="Arial" w:hAnsi="Arial" w:cs="Arial"/>
                <w:sz w:val="22"/>
                <w:szCs w:val="22"/>
              </w:rPr>
              <w:t xml:space="preserve">Formularz „Zgłoszenie pobytu </w:t>
            </w:r>
            <w:r w:rsidR="00533DEB" w:rsidRPr="001909AE">
              <w:rPr>
                <w:rFonts w:ascii="Arial" w:hAnsi="Arial" w:cs="Arial"/>
                <w:sz w:val="22"/>
                <w:szCs w:val="22"/>
              </w:rPr>
              <w:t>stałego</w:t>
            </w:r>
            <w:r w:rsidRPr="001909AE">
              <w:rPr>
                <w:rFonts w:ascii="Arial" w:hAnsi="Arial" w:cs="Arial"/>
                <w:sz w:val="22"/>
                <w:szCs w:val="22"/>
              </w:rPr>
              <w:t>” do pobrania w pokoju nr 1 lub na stronie internetowej urzędu.....</w:t>
            </w:r>
          </w:p>
        </w:tc>
      </w:tr>
      <w:tr w:rsidR="00F31593" w:rsidRPr="009712EF" w:rsidTr="000454C0">
        <w:trPr>
          <w:trHeight w:val="2691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593" w:rsidRPr="009712EF" w:rsidRDefault="00F31593" w:rsidP="007349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F31593" w:rsidRPr="009712EF" w:rsidRDefault="00F31593" w:rsidP="007349DC">
            <w:pPr>
              <w:rPr>
                <w:rFonts w:ascii="Arial" w:hAnsi="Arial" w:cs="Arial"/>
                <w:sz w:val="20"/>
                <w:szCs w:val="20"/>
              </w:rPr>
            </w:pPr>
            <w:r w:rsidRPr="009712EF">
              <w:rPr>
                <w:rFonts w:ascii="Arial" w:hAnsi="Arial" w:cs="Arial"/>
                <w:sz w:val="20"/>
                <w:szCs w:val="20"/>
              </w:rPr>
              <w:t>PODSTAWA PRAWNA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9AE" w:rsidRPr="001909AE" w:rsidRDefault="001909AE" w:rsidP="001909AE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909AE">
              <w:rPr>
                <w:rFonts w:ascii="Arial" w:hAnsi="Arial" w:cs="Arial"/>
                <w:sz w:val="22"/>
                <w:szCs w:val="22"/>
                <w:lang w:eastAsia="pl-PL"/>
              </w:rPr>
              <w:t xml:space="preserve">Ustawa z dnia 24 września 2010 r. o ewidencji ludności (Dz.U. z 2017 r. poz. 657 z </w:t>
            </w:r>
            <w:proofErr w:type="spellStart"/>
            <w:r w:rsidRPr="001909AE">
              <w:rPr>
                <w:rFonts w:ascii="Arial" w:hAnsi="Arial" w:cs="Arial"/>
                <w:sz w:val="22"/>
                <w:szCs w:val="22"/>
                <w:lang w:eastAsia="pl-PL"/>
              </w:rPr>
              <w:t>późn</w:t>
            </w:r>
            <w:proofErr w:type="spellEnd"/>
            <w:r w:rsidRPr="001909AE">
              <w:rPr>
                <w:rFonts w:ascii="Arial" w:hAnsi="Arial" w:cs="Arial"/>
                <w:sz w:val="22"/>
                <w:szCs w:val="22"/>
                <w:lang w:eastAsia="pl-PL"/>
              </w:rPr>
              <w:t>. zm.)</w:t>
            </w:r>
          </w:p>
          <w:p w:rsidR="001909AE" w:rsidRPr="001909AE" w:rsidRDefault="001909AE" w:rsidP="001909AE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909AE">
              <w:rPr>
                <w:rFonts w:ascii="Arial" w:hAnsi="Arial" w:cs="Arial"/>
                <w:sz w:val="22"/>
                <w:szCs w:val="22"/>
                <w:lang w:eastAsia="pl-PL"/>
              </w:rPr>
              <w:t>Rozporządzenie Ministra Spraw Wewnętrznych i Administracji z dnia 13 grudnia 2017 r. w sprawie określenia wzorów i sposobu wypełniania formularzy stosowanych przy wykonywaniu obowiązku meldunkowego (Dz.U. poz. 2411).</w:t>
            </w:r>
          </w:p>
          <w:p w:rsidR="001909AE" w:rsidRPr="001909AE" w:rsidRDefault="001909AE" w:rsidP="001909AE">
            <w:pPr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909AE">
              <w:rPr>
                <w:rFonts w:ascii="Arial" w:hAnsi="Arial" w:cs="Arial"/>
                <w:sz w:val="22"/>
                <w:szCs w:val="22"/>
                <w:lang w:eastAsia="pl-PL"/>
              </w:rPr>
              <w:t xml:space="preserve"> Ustawa z dnia 16 listopada 2006 r. o opłacie skarbowej </w:t>
            </w:r>
            <w:r w:rsidRPr="001909AE">
              <w:rPr>
                <w:rFonts w:ascii="Arial" w:hAnsi="Arial" w:cs="Arial"/>
                <w:sz w:val="22"/>
                <w:szCs w:val="22"/>
              </w:rPr>
              <w:t xml:space="preserve"> (Dz. U. z 2016 poz. 1827 z </w:t>
            </w:r>
            <w:proofErr w:type="spellStart"/>
            <w:r w:rsidRPr="001909AE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Pr="001909AE">
              <w:rPr>
                <w:rFonts w:ascii="Arial" w:hAnsi="Arial" w:cs="Arial"/>
                <w:sz w:val="22"/>
                <w:szCs w:val="22"/>
              </w:rPr>
              <w:t>. zm.).</w:t>
            </w:r>
          </w:p>
          <w:p w:rsidR="00F31593" w:rsidRPr="001909AE" w:rsidRDefault="001909AE" w:rsidP="001909AE">
            <w:pPr>
              <w:widowControl w:val="0"/>
              <w:numPr>
                <w:ilvl w:val="0"/>
                <w:numId w:val="2"/>
              </w:numPr>
              <w:suppressAutoHyphens w:val="0"/>
              <w:snapToGrid w:val="0"/>
              <w:spacing w:before="57" w:line="240" w:lineRule="auto"/>
              <w:jc w:val="both"/>
              <w:rPr>
                <w:rFonts w:ascii="Arial" w:eastAsia="Lucida Sans Unicode" w:hAnsi="Arial" w:cs="Arial"/>
                <w:b/>
                <w:bCs/>
                <w:sz w:val="22"/>
                <w:szCs w:val="22"/>
              </w:rPr>
            </w:pPr>
            <w:r w:rsidRPr="001909AE">
              <w:rPr>
                <w:rFonts w:ascii="Arial" w:hAnsi="Arial" w:cs="Arial"/>
                <w:sz w:val="22"/>
                <w:szCs w:val="22"/>
                <w:lang w:eastAsia="pl-PL"/>
              </w:rPr>
              <w:t xml:space="preserve">Ustawa z dnia 14 czerwca 1960 r. – Kodeks postępowania administracyjnego </w:t>
            </w:r>
            <w:r w:rsidRPr="001909AE">
              <w:rPr>
                <w:rFonts w:ascii="Arial" w:hAnsi="Arial" w:cs="Arial"/>
                <w:sz w:val="22"/>
                <w:szCs w:val="22"/>
              </w:rPr>
              <w:t xml:space="preserve">(tekst jedn. Dz. U. z 2017 poz. 1257 z </w:t>
            </w:r>
            <w:proofErr w:type="spellStart"/>
            <w:r w:rsidRPr="001909AE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Pr="001909AE">
              <w:rPr>
                <w:rFonts w:ascii="Arial" w:hAnsi="Arial" w:cs="Arial"/>
                <w:sz w:val="22"/>
                <w:szCs w:val="22"/>
              </w:rPr>
              <w:t>. zm.).</w:t>
            </w:r>
          </w:p>
        </w:tc>
      </w:tr>
    </w:tbl>
    <w:p w:rsidR="00F31593" w:rsidRPr="009712EF" w:rsidRDefault="00F31593" w:rsidP="00F31593">
      <w:pPr>
        <w:rPr>
          <w:rFonts w:ascii="Arial" w:hAnsi="Arial" w:cs="Arial"/>
          <w:sz w:val="20"/>
          <w:szCs w:val="20"/>
        </w:rPr>
      </w:pPr>
      <w:r w:rsidRPr="009712EF">
        <w:rPr>
          <w:rFonts w:ascii="Arial" w:hAnsi="Arial" w:cs="Arial"/>
          <w:sz w:val="20"/>
          <w:szCs w:val="20"/>
        </w:rPr>
        <w:t>Sporządziła: Joanna Rogala</w:t>
      </w:r>
    </w:p>
    <w:p w:rsidR="00F31593" w:rsidRPr="009712EF" w:rsidRDefault="00F31593" w:rsidP="00F31593">
      <w:pPr>
        <w:rPr>
          <w:rFonts w:ascii="Arial" w:hAnsi="Arial" w:cs="Arial"/>
          <w:sz w:val="20"/>
          <w:szCs w:val="20"/>
        </w:rPr>
      </w:pPr>
      <w:r w:rsidRPr="009712EF">
        <w:rPr>
          <w:rFonts w:ascii="Arial" w:hAnsi="Arial" w:cs="Arial"/>
          <w:sz w:val="20"/>
          <w:szCs w:val="20"/>
        </w:rPr>
        <w:t>Zatwierdził:</w:t>
      </w:r>
      <w:bookmarkStart w:id="0" w:name="_GoBack"/>
      <w:bookmarkEnd w:id="0"/>
    </w:p>
    <w:sectPr w:rsidR="00F31593" w:rsidRPr="009712EF">
      <w:pgSz w:w="11906" w:h="16838"/>
      <w:pgMar w:top="720" w:right="1417" w:bottom="743" w:left="1417" w:header="708" w:footer="708" w:gutter="0"/>
      <w:cols w:space="708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1" w15:restartNumberingAfterBreak="0">
    <w:nsid w:val="05425E8A"/>
    <w:multiLevelType w:val="multilevel"/>
    <w:tmpl w:val="32BE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717E8"/>
    <w:multiLevelType w:val="hybridMultilevel"/>
    <w:tmpl w:val="C3C28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9571B"/>
    <w:multiLevelType w:val="multilevel"/>
    <w:tmpl w:val="DD44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3B1DF2"/>
    <w:multiLevelType w:val="multilevel"/>
    <w:tmpl w:val="043A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596B7C"/>
    <w:multiLevelType w:val="multilevel"/>
    <w:tmpl w:val="A170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341781"/>
    <w:multiLevelType w:val="hybridMultilevel"/>
    <w:tmpl w:val="D606625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26D8E"/>
    <w:multiLevelType w:val="hybridMultilevel"/>
    <w:tmpl w:val="7DE4EFE6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4C006E97"/>
    <w:multiLevelType w:val="multilevel"/>
    <w:tmpl w:val="32BE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2831B0"/>
    <w:multiLevelType w:val="multilevel"/>
    <w:tmpl w:val="EE9A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5786D"/>
    <w:multiLevelType w:val="hybridMultilevel"/>
    <w:tmpl w:val="D606625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80211"/>
    <w:multiLevelType w:val="hybridMultilevel"/>
    <w:tmpl w:val="4F8E6B32"/>
    <w:lvl w:ilvl="0" w:tplc="B99620CE">
      <w:start w:val="1"/>
      <w:numFmt w:val="decimal"/>
      <w:lvlText w:val="%1."/>
      <w:lvlJc w:val="left"/>
      <w:pPr>
        <w:ind w:left="3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2" w15:restartNumberingAfterBreak="0">
    <w:nsid w:val="64ED30C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70FE1BB0"/>
    <w:multiLevelType w:val="hybridMultilevel"/>
    <w:tmpl w:val="412CB14C"/>
    <w:lvl w:ilvl="0" w:tplc="58EE0A50">
      <w:start w:val="1"/>
      <w:numFmt w:val="decimal"/>
      <w:lvlText w:val="%1."/>
      <w:lvlJc w:val="left"/>
      <w:pPr>
        <w:ind w:left="3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4" w15:restartNumberingAfterBreak="0">
    <w:nsid w:val="76D80F6F"/>
    <w:multiLevelType w:val="hybridMultilevel"/>
    <w:tmpl w:val="9CF4DB3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6A0466"/>
    <w:multiLevelType w:val="hybridMultilevel"/>
    <w:tmpl w:val="B80C5850"/>
    <w:lvl w:ilvl="0" w:tplc="4D2E49BA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10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14"/>
  </w:num>
  <w:num w:numId="11">
    <w:abstractNumId w:val="7"/>
  </w:num>
  <w:num w:numId="12">
    <w:abstractNumId w:val="12"/>
  </w:num>
  <w:num w:numId="13">
    <w:abstractNumId w:val="11"/>
  </w:num>
  <w:num w:numId="14">
    <w:abstractNumId w:val="8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93"/>
    <w:rsid w:val="000454C0"/>
    <w:rsid w:val="001660F6"/>
    <w:rsid w:val="001909AE"/>
    <w:rsid w:val="00216EA4"/>
    <w:rsid w:val="00533DEB"/>
    <w:rsid w:val="005778DB"/>
    <w:rsid w:val="006A0B7E"/>
    <w:rsid w:val="007A0A77"/>
    <w:rsid w:val="00930577"/>
    <w:rsid w:val="009712EF"/>
    <w:rsid w:val="00A704BB"/>
    <w:rsid w:val="00EC3D5A"/>
    <w:rsid w:val="00F3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C12B1-561E-43D9-BE2E-C9EF6E15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159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159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31593"/>
    <w:rPr>
      <w:b/>
      <w:bCs/>
    </w:rPr>
  </w:style>
  <w:style w:type="paragraph" w:styleId="NormalnyWeb">
    <w:name w:val="Normal (Web)"/>
    <w:basedOn w:val="Normalny"/>
    <w:uiPriority w:val="99"/>
    <w:unhideWhenUsed/>
    <w:rsid w:val="00533DEB"/>
    <w:pPr>
      <w:suppressAutoHyphens w:val="0"/>
      <w:spacing w:before="100" w:beforeAutospacing="1" w:after="100" w:afterAutospacing="1" w:line="240" w:lineRule="auto"/>
    </w:pPr>
    <w:rPr>
      <w:kern w:val="0"/>
      <w:lang w:eastAsia="pl-PL"/>
    </w:rPr>
  </w:style>
  <w:style w:type="paragraph" w:styleId="Akapitzlist">
    <w:name w:val="List Paragraph"/>
    <w:basedOn w:val="Normalny"/>
    <w:uiPriority w:val="34"/>
    <w:qFormat/>
    <w:rsid w:val="00EC3D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0B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B7E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Tekstpodstawowy">
    <w:name w:val="Body Text"/>
    <w:link w:val="TekstpodstawowyZnak"/>
    <w:rsid w:val="00A704BB"/>
    <w:pPr>
      <w:widowControl w:val="0"/>
      <w:suppressAutoHyphens/>
      <w:spacing w:after="200" w:line="276" w:lineRule="auto"/>
      <w:jc w:val="center"/>
    </w:pPr>
    <w:rPr>
      <w:rFonts w:ascii="Arial" w:eastAsia="Lucida Sans Unicode" w:hAnsi="Arial" w:cs="font311"/>
      <w:b/>
      <w:bCs/>
      <w:kern w:val="1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704BB"/>
    <w:rPr>
      <w:rFonts w:ascii="Arial" w:eastAsia="Lucida Sans Unicode" w:hAnsi="Arial" w:cs="font311"/>
      <w:b/>
      <w:bCs/>
      <w:kern w:val="1"/>
      <w:szCs w:val="20"/>
      <w:lang w:eastAsia="ar-SA"/>
    </w:rPr>
  </w:style>
  <w:style w:type="character" w:customStyle="1" w:styleId="inline-comment-marker">
    <w:name w:val="inline-comment-marker"/>
    <w:basedOn w:val="Domylnaczcionkaakapitu"/>
    <w:rsid w:val="00A70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.warszawa.pl/zalatw-sprawe-w-urzedzie/sprawa-w-urzedzie/zameldowanie-w-drodze-decyzji-administracyjnej" TargetMode="External"/><Relationship Id="rId3" Type="http://schemas.openxmlformats.org/officeDocument/2006/relationships/styles" Target="styles.xml"/><Relationship Id="rId7" Type="http://schemas.openxmlformats.org/officeDocument/2006/relationships/hyperlink" Target="https://obywatel.gov.pl/meldunek/zamelduj-sie-na-pobyt-staly-dla-cudzoziemcow#scenariusz-przez-inter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m.warszawa.pl/sites/default/files/wniosek_zgloszenie_pobytu_stalego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ECCAB-F556-4A2B-AB5F-425FEE7C9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1096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2016-02-19T06:59:00Z</cp:lastPrinted>
  <dcterms:created xsi:type="dcterms:W3CDTF">2016-02-18T23:05:00Z</dcterms:created>
  <dcterms:modified xsi:type="dcterms:W3CDTF">2018-01-05T00:21:00Z</dcterms:modified>
</cp:coreProperties>
</file>